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29" w:rsidRPr="00C80D0D" w:rsidRDefault="00257F29" w:rsidP="00C80D0D">
      <w:pPr>
        <w:keepNext/>
        <w:pageBreakBefore/>
        <w:spacing w:before="240" w:after="120" w:line="240" w:lineRule="auto"/>
        <w:ind w:left="425"/>
        <w:jc w:val="both"/>
        <w:outlineLvl w:val="2"/>
        <w:rPr>
          <w:b/>
          <w:bCs/>
          <w:color w:val="000000"/>
          <w:sz w:val="20"/>
          <w:szCs w:val="24"/>
          <w:lang w:eastAsia="pl-PL"/>
        </w:rPr>
      </w:pPr>
      <w:bookmarkStart w:id="0" w:name="_Toc343284238"/>
      <w:r w:rsidRPr="00C80D0D">
        <w:rPr>
          <w:b/>
          <w:bCs/>
          <w:color w:val="000000"/>
          <w:sz w:val="20"/>
          <w:szCs w:val="24"/>
          <w:lang w:eastAsia="pl-PL"/>
        </w:rPr>
        <w:t>Praktyki zawodowe</w:t>
      </w:r>
      <w:bookmarkEnd w:id="0"/>
      <w:r w:rsidR="002A37C4">
        <w:rPr>
          <w:b/>
          <w:bCs/>
          <w:color w:val="000000"/>
          <w:sz w:val="20"/>
          <w:szCs w:val="24"/>
          <w:lang w:eastAsia="pl-PL"/>
        </w:rPr>
        <w:t xml:space="preserve"> technik logistyk</w:t>
      </w:r>
      <w:bookmarkStart w:id="1" w:name="_GoBack"/>
      <w:bookmarkEnd w:id="1"/>
    </w:p>
    <w:p w:rsidR="00257F29" w:rsidRPr="00C80D0D" w:rsidRDefault="00257F29" w:rsidP="00C80D0D">
      <w:pPr>
        <w:spacing w:after="0" w:line="240" w:lineRule="auto"/>
        <w:ind w:left="850" w:hanging="493"/>
        <w:contextualSpacing/>
        <w:jc w:val="both"/>
        <w:rPr>
          <w:rFonts w:cs="Calibri"/>
          <w:sz w:val="20"/>
        </w:rPr>
      </w:pPr>
      <w:r w:rsidRPr="00C80D0D">
        <w:rPr>
          <w:rFonts w:cs="Calibri"/>
          <w:sz w:val="20"/>
        </w:rPr>
        <w:t>1. Bhp, ochrona ppoż., ochrona środowiska i ergonomia na stanowisku logistyka</w:t>
      </w:r>
    </w:p>
    <w:p w:rsidR="00257F29" w:rsidRPr="00C80D0D" w:rsidRDefault="00257F29" w:rsidP="00C80D0D">
      <w:pPr>
        <w:tabs>
          <w:tab w:val="left" w:pos="851"/>
        </w:tabs>
        <w:spacing w:after="0" w:line="240" w:lineRule="auto"/>
        <w:ind w:left="283" w:hanging="283"/>
        <w:contextualSpacing/>
        <w:rPr>
          <w:rFonts w:cs="Calibri"/>
          <w:sz w:val="20"/>
          <w:lang w:eastAsia="pl-PL"/>
        </w:rPr>
      </w:pPr>
      <w:r>
        <w:rPr>
          <w:rFonts w:cs="Calibri"/>
          <w:sz w:val="20"/>
          <w:lang w:eastAsia="pl-PL"/>
        </w:rPr>
        <w:tab/>
        <w:t xml:space="preserve">  </w:t>
      </w:r>
      <w:r w:rsidRPr="00C80D0D">
        <w:rPr>
          <w:rFonts w:cs="Calibri"/>
          <w:sz w:val="20"/>
          <w:lang w:eastAsia="pl-PL"/>
        </w:rPr>
        <w:t>2. Podstawy prowadzenia działalności logistycznej</w:t>
      </w:r>
    </w:p>
    <w:p w:rsidR="00257F29" w:rsidRPr="00C80D0D" w:rsidRDefault="00257F29" w:rsidP="00C80D0D">
      <w:pPr>
        <w:spacing w:after="0" w:line="240" w:lineRule="auto"/>
        <w:ind w:left="850" w:hanging="493"/>
        <w:contextualSpacing/>
        <w:rPr>
          <w:rFonts w:cs="Calibri"/>
          <w:sz w:val="20"/>
          <w:lang w:eastAsia="pl-PL"/>
        </w:rPr>
      </w:pPr>
      <w:r w:rsidRPr="00C80D0D">
        <w:rPr>
          <w:rFonts w:cs="Calibri"/>
          <w:sz w:val="20"/>
          <w:lang w:eastAsia="pl-PL"/>
        </w:rPr>
        <w:t>3. Procesy transportowe i magazynowe</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418"/>
        <w:gridCol w:w="1417"/>
        <w:gridCol w:w="4253"/>
      </w:tblGrid>
      <w:tr w:rsidR="00257F29" w:rsidRPr="004A59FA" w:rsidTr="001B3B64">
        <w:trPr>
          <w:trHeight w:val="274"/>
          <w:tblHeader/>
        </w:trPr>
        <w:tc>
          <w:tcPr>
            <w:tcW w:w="13433" w:type="dxa"/>
            <w:gridSpan w:val="4"/>
            <w:shd w:val="clear" w:color="auto" w:fill="BFBFBF"/>
          </w:tcPr>
          <w:p w:rsidR="00257F29" w:rsidRPr="00C80D0D" w:rsidRDefault="00257F29" w:rsidP="00C80D0D">
            <w:pPr>
              <w:tabs>
                <w:tab w:val="left" w:pos="396"/>
              </w:tabs>
              <w:spacing w:after="0" w:line="240" w:lineRule="auto"/>
              <w:jc w:val="both"/>
              <w:rPr>
                <w:rFonts w:cs="Calibri"/>
                <w:b/>
                <w:bCs/>
                <w:sz w:val="18"/>
                <w:szCs w:val="18"/>
                <w:lang w:eastAsia="pl-PL"/>
              </w:rPr>
            </w:pPr>
            <w:r w:rsidRPr="00C80D0D">
              <w:rPr>
                <w:rFonts w:cs="Calibri"/>
                <w:b/>
                <w:sz w:val="18"/>
                <w:szCs w:val="18"/>
                <w:lang w:eastAsia="pl-PL"/>
              </w:rPr>
              <w:t>1. Bhp, ochrona ppoż., ochrona środowiska i ergonomia na stanowisku logistyka</w:t>
            </w:r>
          </w:p>
        </w:tc>
      </w:tr>
      <w:tr w:rsidR="00257F29" w:rsidRPr="004A59FA" w:rsidTr="001B3B64">
        <w:trPr>
          <w:trHeight w:val="704"/>
        </w:trPr>
        <w:tc>
          <w:tcPr>
            <w:tcW w:w="6345"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Uszczegółowione efekty kształcenia</w:t>
            </w:r>
          </w:p>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Uczeń po zrealizowaniu zajęć potrafi:</w:t>
            </w:r>
          </w:p>
        </w:tc>
        <w:tc>
          <w:tcPr>
            <w:tcW w:w="1418"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Poziom wymagań programowych</w:t>
            </w:r>
          </w:p>
        </w:tc>
        <w:tc>
          <w:tcPr>
            <w:tcW w:w="1417"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Kategoria taksonomiczna</w:t>
            </w:r>
          </w:p>
        </w:tc>
        <w:tc>
          <w:tcPr>
            <w:tcW w:w="4253" w:type="dxa"/>
            <w:shd w:val="clear" w:color="auto" w:fill="BFBFBF"/>
            <w:vAlign w:val="center"/>
          </w:tcPr>
          <w:p w:rsidR="00257F29" w:rsidRPr="00C80D0D" w:rsidRDefault="00257F29" w:rsidP="00C80D0D">
            <w:pPr>
              <w:spacing w:after="0" w:line="240" w:lineRule="auto"/>
              <w:jc w:val="center"/>
              <w:rPr>
                <w:rFonts w:cs="Calibri"/>
                <w:b/>
                <w:bCs/>
                <w:sz w:val="18"/>
                <w:szCs w:val="18"/>
                <w:lang w:eastAsia="pl-PL"/>
              </w:rPr>
            </w:pPr>
            <w:r w:rsidRPr="00C80D0D">
              <w:rPr>
                <w:rFonts w:cs="Calibri"/>
                <w:b/>
                <w:bCs/>
                <w:sz w:val="18"/>
                <w:szCs w:val="18"/>
                <w:lang w:eastAsia="pl-PL"/>
              </w:rPr>
              <w:t>Materiał nauczania</w:t>
            </w: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BHP(1)4wyjaśnić zasady bhp;</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val="restart"/>
          </w:tcPr>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Zasady BHP.</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Zasady ochrony przeciwpożarowej.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Zasady ochrony środowiska.</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Zasady ergonomii.</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Zadania i uprawnienia instytucji.</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Instytucje i służby działające w zakresie ochrony pracy.</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Instytucje i służby działające w zakresie ochrony środowiska.</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Prawa i obowiązki pracownika w zakresie bhp</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Prawa i obowiązki pracodawcy w zakresie bhp</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Czynniki szkodliwe dla zdrowia występujące w środowisku pracy logistyka</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Ergonomia na stanowisku pracy</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Środki ochrony indywidualnej i zbiorowej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Przepisy prawa dotyczące bhp</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Przepisy prawa dotyczące ochrony przeciwpożarowej i ochrony środowiska</w:t>
            </w:r>
          </w:p>
          <w:p w:rsidR="00257F29" w:rsidRPr="00C80D0D" w:rsidRDefault="00257F29" w:rsidP="00C80D0D">
            <w:pPr>
              <w:spacing w:after="0" w:line="240" w:lineRule="auto"/>
              <w:ind w:left="360" w:hanging="360"/>
              <w:contextualSpacing/>
              <w:rPr>
                <w:rFonts w:cs="Calibri"/>
                <w:b/>
                <w:sz w:val="18"/>
                <w:szCs w:val="18"/>
              </w:rPr>
            </w:pPr>
            <w:r w:rsidRPr="00C80D0D">
              <w:rPr>
                <w:rFonts w:cs="Calibri"/>
                <w:bCs/>
                <w:sz w:val="18"/>
                <w:szCs w:val="18"/>
              </w:rPr>
              <w:t>Pierwsza pomoc</w:t>
            </w: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BHP(1)5wyjaśnić zasady ochrony przeciwpożarowej;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BHP(1)6 wyjaśnić zasady ochrony środowiska;</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BHP(1)7wyjaśnić zasady ergonomii;</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BHP(2)3scharakteryzować zadania i uprawnienia instytucji oraz służb działających w zakresie ochrony pracy;</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BHP(2)4scharakteryzować zadania i uprawnienia instytucji oraz służb działających w zakresie ochrony środowiska;</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BHP(3)3wskazać prawa i obowiązki pracownika w zakresie bhp</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BHP(3)4wskazać prawa i obowiązki pracodawcy w zakresie bhp;</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BHP(4)3opisać zagrożenia związane z pracą logistyka;</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BHP(4)4dobrać metody zabiegania zagrożeniom związanym z pracą logistyka;</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BHP(5)3opisać czynniki szkodliwe dla zdrowia występujące w środowisku pracy logistyka;</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spacing w:after="0" w:line="240" w:lineRule="auto"/>
              <w:contextualSpacing/>
              <w:jc w:val="center"/>
              <w:rPr>
                <w:rFonts w:cs="Calibri"/>
                <w:b/>
                <w:bCs/>
                <w:sz w:val="18"/>
                <w:szCs w:val="18"/>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BHP(5)4scharakteryzować metody zapobiegania negatywnym skutkom dla zdrowia;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113"/>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BHP(6)3opisać skutki oddziaływania na organizm człowieka szkodliwych czynników;</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27"/>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BHP(6)4scharakteryzować metody minimalizowania negatywnych skutków oddziaływania szkodliwych czynników na organizm człowieka;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27"/>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BHP(7)10zorganizować stanowisko pracy logistyka zgodnie z wymogami ergonomii, przepisami bezpieczeństwa i higieny pracy, ochrony przeciwpożarowej i ochrony środowiska;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BHP(7)11ocenić organizację stanowisko pracy logistyka zgodnie z wymogami ergonomii, przepisami bezpieczeństwa i higieny pracy, ochrony przeciwpożarowej i ochrony środowiska;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BHP(8)3opisać rodzaje środków ochrony indywidualnej i zbiorowej;</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BHP(8)4dobrać środek ochrony indywidualnej i zbiorowej;</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BHP(9)10wskazać przepisy prawa dotyczące bezpieczeństwa i higieny prawa oraz ochrony przeciwpożarowej i ochrony środowiska;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cantSplit/>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BHP(9)11ocenić przestrzeganie zasad bezpieczeństwa i higieny pracy oraz stosowania przepisów prawa dotyczących ochrony przeciwpożarowej i ochrony środowiska;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BHP(10)4 opisać metody udzielania pierwszej pomocy;</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BHP(10)5 ocenić stan zagrożenia;</w:t>
            </w:r>
          </w:p>
        </w:tc>
        <w:tc>
          <w:tcPr>
            <w:tcW w:w="1418"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P</w:t>
            </w:r>
          </w:p>
        </w:tc>
        <w:tc>
          <w:tcPr>
            <w:tcW w:w="1417" w:type="dxa"/>
          </w:tcPr>
          <w:p w:rsidR="00257F29" w:rsidRPr="00C80D0D" w:rsidRDefault="00257F29" w:rsidP="00C80D0D">
            <w:pPr>
              <w:spacing w:after="0" w:line="240" w:lineRule="auto"/>
              <w:jc w:val="center"/>
              <w:rPr>
                <w:rFonts w:cs="Calibri"/>
                <w:sz w:val="18"/>
                <w:szCs w:val="18"/>
                <w:lang w:eastAsia="pl-PL"/>
              </w:rPr>
            </w:pPr>
            <w:r w:rsidRPr="00C80D0D">
              <w:rPr>
                <w:rFonts w:cs="Calibri"/>
                <w:bCs/>
                <w:sz w:val="18"/>
                <w:szCs w:val="18"/>
                <w:lang w:eastAsia="pl-PL"/>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BHP(10)6 udzielić pierwszej pomocy.</w:t>
            </w:r>
          </w:p>
        </w:tc>
        <w:tc>
          <w:tcPr>
            <w:tcW w:w="1418" w:type="dxa"/>
          </w:tcPr>
          <w:p w:rsidR="00257F29" w:rsidRPr="00C80D0D" w:rsidRDefault="00257F29" w:rsidP="00C80D0D">
            <w:pPr>
              <w:keepNext/>
              <w:keepLines/>
              <w:spacing w:after="0" w:line="240" w:lineRule="auto"/>
              <w:jc w:val="center"/>
              <w:outlineLvl w:val="2"/>
              <w:rPr>
                <w:rFonts w:cs="Calibri"/>
                <w:sz w:val="18"/>
                <w:szCs w:val="18"/>
                <w:lang w:eastAsia="pl-PL"/>
              </w:rPr>
            </w:pPr>
            <w:bookmarkStart w:id="2" w:name="_Toc341293453"/>
            <w:bookmarkStart w:id="3" w:name="_Toc343284239"/>
            <w:r w:rsidRPr="00C80D0D">
              <w:rPr>
                <w:rFonts w:cs="Calibri"/>
                <w:bCs/>
                <w:sz w:val="18"/>
                <w:szCs w:val="18"/>
                <w:lang w:eastAsia="pl-PL"/>
              </w:rPr>
              <w:t>P</w:t>
            </w:r>
            <w:bookmarkEnd w:id="2"/>
            <w:bookmarkEnd w:id="3"/>
          </w:p>
        </w:tc>
        <w:tc>
          <w:tcPr>
            <w:tcW w:w="1417" w:type="dxa"/>
          </w:tcPr>
          <w:p w:rsidR="00257F29" w:rsidRPr="00C80D0D" w:rsidRDefault="00257F29" w:rsidP="00C80D0D">
            <w:pPr>
              <w:keepNext/>
              <w:keepLines/>
              <w:spacing w:after="0" w:line="240" w:lineRule="auto"/>
              <w:jc w:val="center"/>
              <w:outlineLvl w:val="2"/>
              <w:rPr>
                <w:rFonts w:cs="Calibri"/>
                <w:sz w:val="18"/>
                <w:szCs w:val="18"/>
                <w:lang w:eastAsia="pl-PL"/>
              </w:rPr>
            </w:pPr>
            <w:bookmarkStart w:id="4" w:name="_Toc341293454"/>
            <w:bookmarkStart w:id="5" w:name="_Toc343284240"/>
            <w:r w:rsidRPr="00C80D0D">
              <w:rPr>
                <w:rFonts w:cs="Calibri"/>
                <w:bCs/>
                <w:sz w:val="18"/>
                <w:szCs w:val="18"/>
                <w:lang w:eastAsia="pl-PL"/>
              </w:rPr>
              <w:t>C</w:t>
            </w:r>
            <w:bookmarkEnd w:id="4"/>
            <w:bookmarkEnd w:id="5"/>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Planowane zadania</w:t>
            </w:r>
          </w:p>
          <w:p w:rsidR="00257F29" w:rsidRPr="00C80D0D" w:rsidRDefault="00257F29" w:rsidP="00C80D0D">
            <w:pPr>
              <w:spacing w:after="0" w:line="240" w:lineRule="auto"/>
              <w:rPr>
                <w:rFonts w:ascii="Times New Roman" w:hAnsi="Times New Roman"/>
                <w:sz w:val="24"/>
                <w:szCs w:val="24"/>
                <w:lang w:eastAsia="pl-PL"/>
              </w:rPr>
            </w:pPr>
            <w:r w:rsidRPr="00C80D0D">
              <w:rPr>
                <w:rFonts w:cs="Calibri"/>
                <w:sz w:val="18"/>
                <w:szCs w:val="18"/>
                <w:lang w:eastAsia="pl-PL"/>
              </w:rPr>
              <w:t>Obserwacja czynności lub uczestniczenie w obsłudze stanowisk związanych z transportem i logistyką, ze szczególnym uwzględnieniem zasad i przepisów bezpieczeństwa i higieny pracy, ochrony ppoż., ochrony środowiska i ergonomii obowiązujących na stanowisku pracy logistyka.</w:t>
            </w:r>
          </w:p>
        </w:tc>
      </w:tr>
      <w:tr w:rsidR="00257F29" w:rsidRPr="004A59FA" w:rsidTr="001B3B64">
        <w:trPr>
          <w:trHeight w:val="414"/>
        </w:trPr>
        <w:tc>
          <w:tcPr>
            <w:tcW w:w="13433" w:type="dxa"/>
            <w:gridSpan w:val="4"/>
            <w:vAlign w:val="center"/>
          </w:tcPr>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b/>
                <w:bCs/>
                <w:sz w:val="18"/>
                <w:szCs w:val="18"/>
                <w:lang w:eastAsia="pl-PL"/>
              </w:rPr>
              <w:t>Warunki osiągania efektów kształcenia, w tym środki dydaktyczne, metody, formy organizacyjne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Szkoła organizuje praktyki zawodowe w podmiocie zapewniającym rzeczywiste warunki pracy właściwe dla nauczanego zawodu w wymiarze 4 tygodni (160 godzin).</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Przed rozpoczęciem praktyk zawodowych należy zapoznać uczniów z programem praktyk zawodowych, regulaminem i przepisami bezpieczeństwa i higieny pracy oraz ochrony przeciwpożarowej i ochrony środowiska obowiązującymi w zakładzie pracy.</w:t>
            </w: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Środki dydaktyczne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Rzeczywiste warunki pracy właściwe dla zawodu logistyka.</w:t>
            </w:r>
          </w:p>
          <w:p w:rsidR="00257F29" w:rsidRPr="00C80D0D" w:rsidRDefault="00257F29" w:rsidP="00C80D0D">
            <w:pPr>
              <w:spacing w:after="0" w:line="240" w:lineRule="auto"/>
              <w:jc w:val="both"/>
              <w:rPr>
                <w:rFonts w:cs="Calibri"/>
                <w:bCs/>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Zalecane metody dydaktyczne</w:t>
            </w:r>
          </w:p>
          <w:p w:rsidR="00257F29" w:rsidRPr="00C80D0D" w:rsidRDefault="00257F29" w:rsidP="00C80D0D">
            <w:pPr>
              <w:spacing w:after="0" w:line="240" w:lineRule="auto"/>
              <w:jc w:val="both"/>
              <w:rPr>
                <w:rFonts w:cs="Calibri"/>
                <w:sz w:val="18"/>
                <w:szCs w:val="18"/>
                <w:lang w:eastAsia="pl-PL"/>
              </w:rPr>
            </w:pPr>
            <w:r w:rsidRPr="00C80D0D">
              <w:rPr>
                <w:rFonts w:cs="Calibri"/>
                <w:bCs/>
                <w:sz w:val="18"/>
                <w:szCs w:val="18"/>
                <w:lang w:eastAsia="pl-PL"/>
              </w:rPr>
              <w:t>Praktyki zawodowe powinny odbywać się w dni robocze, poza porą nocną. W okresie praktyk zawodowych uczeń podlega obowiązkom wynikającym z regulaminu szkolnego, a ponadto ma obowiązek zastosować</w:t>
            </w:r>
            <w:r w:rsidRPr="00C80D0D">
              <w:rPr>
                <w:rFonts w:cs="Calibri"/>
                <w:bCs/>
                <w:sz w:val="18"/>
                <w:szCs w:val="18"/>
                <w:u w:val="single"/>
                <w:lang w:eastAsia="pl-PL"/>
              </w:rPr>
              <w:t xml:space="preserve"> </w:t>
            </w:r>
            <w:r w:rsidRPr="00C80D0D">
              <w:rPr>
                <w:rFonts w:cs="Calibri"/>
                <w:bCs/>
                <w:sz w:val="18"/>
                <w:szCs w:val="18"/>
                <w:lang w:eastAsia="pl-PL"/>
              </w:rPr>
              <w:t xml:space="preserve">się do zasad obowiązujących w przedsiębiorstwie, w którym odbywa praktyki zawodowe. </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Przedsiębiorstwo, w którym odbywa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257F29" w:rsidRPr="00C80D0D" w:rsidRDefault="00257F29" w:rsidP="00C80D0D">
            <w:pPr>
              <w:autoSpaceDE w:val="0"/>
              <w:autoSpaceDN w:val="0"/>
              <w:adjustRightInd w:val="0"/>
              <w:spacing w:after="0" w:line="240" w:lineRule="auto"/>
              <w:rPr>
                <w:rFonts w:cs="Calibri"/>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Formy organizacyjne</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Zajęcia powinny być prowadzone z wykorzystaniem zróżnicowanych form: indywidualnie oraz grupowo. Zajęcia należy prowadzić w grupach do 5 osób lub nawet mniejszych (do 1-osobowych), jeżeli wymaga tego specyfika przedsiębiorstwa.</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 xml:space="preserve">Propozycje kryteriów oceny i metod sprawdzania efektów kształcenia </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Oceniania umiejętności opanowanych podczas praktyk zawodowych dokonuje opiekun praktyk na podstawie obserwacji wykonywanych przez ucznia zadań oraz sposobu prowadzenia dziennika praktyk zawodowych.</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sz w:val="18"/>
                <w:szCs w:val="18"/>
                <w:lang w:eastAsia="pl-PL"/>
              </w:rPr>
            </w:pPr>
            <w:r w:rsidRPr="00C80D0D">
              <w:rPr>
                <w:rFonts w:cs="Calibri"/>
                <w:b/>
                <w:bCs/>
                <w:sz w:val="18"/>
                <w:szCs w:val="18"/>
                <w:lang w:eastAsia="pl-PL"/>
              </w:rPr>
              <w:t>Formy indywidualizacji pracy uczniów</w:t>
            </w:r>
            <w:r w:rsidRPr="00C80D0D">
              <w:rPr>
                <w:rFonts w:cs="Calibri"/>
                <w:sz w:val="18"/>
                <w:szCs w:val="18"/>
                <w:lang w:eastAsia="pl-PL"/>
              </w:rPr>
              <w:t xml:space="preserve"> </w:t>
            </w:r>
            <w:r w:rsidRPr="00C80D0D">
              <w:rPr>
                <w:rFonts w:cs="Calibri"/>
                <w:b/>
                <w:sz w:val="18"/>
                <w:szCs w:val="18"/>
                <w:lang w:eastAsia="pl-PL"/>
              </w:rPr>
              <w:t>uwzględniające</w:t>
            </w:r>
            <w:r w:rsidRPr="00C80D0D">
              <w:rPr>
                <w:rFonts w:cs="Calibri"/>
                <w:sz w:val="18"/>
                <w:szCs w:val="18"/>
                <w:lang w:eastAsia="pl-PL"/>
              </w:rPr>
              <w:t xml:space="preserve">: </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potrzeb ucznia.</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możliwości ucznia.</w:t>
            </w:r>
          </w:p>
        </w:tc>
      </w:tr>
    </w:tbl>
    <w:p w:rsidR="00257F29" w:rsidRPr="00C80D0D" w:rsidRDefault="00257F29" w:rsidP="00C80D0D">
      <w:pPr>
        <w:spacing w:after="0" w:line="240" w:lineRule="auto"/>
        <w:ind w:left="284"/>
        <w:contextualSpacing/>
        <w:jc w:val="both"/>
        <w:rPr>
          <w:rFonts w:cs="Calibri"/>
          <w:color w:val="000000"/>
          <w:sz w:val="2"/>
          <w:szCs w:val="2"/>
        </w:rPr>
      </w:pPr>
    </w:p>
    <w:p w:rsidR="00257F29" w:rsidRPr="00C80D0D" w:rsidRDefault="00257F29" w:rsidP="00C80D0D">
      <w:pPr>
        <w:spacing w:after="0" w:line="240" w:lineRule="auto"/>
        <w:ind w:left="284"/>
        <w:contextualSpacing/>
        <w:jc w:val="both"/>
        <w:rPr>
          <w:rFonts w:cs="Calibri"/>
          <w:color w:val="000000"/>
          <w:sz w:val="18"/>
          <w:szCs w:val="18"/>
        </w:rPr>
      </w:pPr>
    </w:p>
    <w:p w:rsidR="00257F29" w:rsidRPr="00C80D0D" w:rsidRDefault="00257F29" w:rsidP="00C80D0D">
      <w:pPr>
        <w:spacing w:after="0" w:line="240" w:lineRule="auto"/>
        <w:ind w:left="284"/>
        <w:contextualSpacing/>
        <w:jc w:val="both"/>
        <w:rPr>
          <w:rFonts w:cs="Calibri"/>
          <w:color w:val="000000"/>
          <w:sz w:val="18"/>
          <w:szCs w:val="18"/>
        </w:rPr>
      </w:pPr>
    </w:p>
    <w:p w:rsidR="00257F29" w:rsidRPr="00C80D0D" w:rsidRDefault="00257F29" w:rsidP="00C80D0D">
      <w:pPr>
        <w:spacing w:after="0" w:line="240" w:lineRule="auto"/>
        <w:ind w:left="284"/>
        <w:contextualSpacing/>
        <w:jc w:val="both"/>
        <w:rPr>
          <w:rFonts w:cs="Calibri"/>
          <w:color w:val="000000"/>
          <w:sz w:val="18"/>
          <w:szCs w:val="18"/>
        </w:rPr>
      </w:pPr>
    </w:p>
    <w:p w:rsidR="00257F29" w:rsidRPr="00C80D0D" w:rsidRDefault="00257F29" w:rsidP="00C80D0D">
      <w:pPr>
        <w:spacing w:after="0" w:line="240" w:lineRule="auto"/>
        <w:ind w:left="284"/>
        <w:contextualSpacing/>
        <w:jc w:val="both"/>
        <w:rPr>
          <w:rFonts w:cs="Calibri"/>
          <w:color w:val="000000"/>
          <w:sz w:val="18"/>
          <w:szCs w:val="18"/>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418"/>
        <w:gridCol w:w="1417"/>
        <w:gridCol w:w="4253"/>
      </w:tblGrid>
      <w:tr w:rsidR="00257F29" w:rsidRPr="004A59FA" w:rsidTr="001B3B64">
        <w:trPr>
          <w:trHeight w:val="127"/>
          <w:tblHeader/>
        </w:trPr>
        <w:tc>
          <w:tcPr>
            <w:tcW w:w="13433" w:type="dxa"/>
            <w:gridSpan w:val="4"/>
            <w:shd w:val="clear" w:color="auto" w:fill="BFBFBF"/>
          </w:tcPr>
          <w:p w:rsidR="00257F29" w:rsidRPr="00C80D0D" w:rsidRDefault="00257F29" w:rsidP="00C80D0D">
            <w:pPr>
              <w:numPr>
                <w:ilvl w:val="0"/>
                <w:numId w:val="3"/>
              </w:numPr>
              <w:spacing w:after="0" w:line="276" w:lineRule="auto"/>
              <w:ind w:left="782" w:hanging="357"/>
              <w:contextualSpacing/>
              <w:jc w:val="both"/>
              <w:rPr>
                <w:rFonts w:cs="Calibri"/>
                <w:b/>
                <w:bCs/>
                <w:sz w:val="18"/>
                <w:szCs w:val="18"/>
              </w:rPr>
            </w:pPr>
            <w:r w:rsidRPr="00C80D0D">
              <w:rPr>
                <w:rFonts w:cs="Calibri"/>
                <w:sz w:val="18"/>
                <w:szCs w:val="18"/>
              </w:rPr>
              <w:lastRenderedPageBreak/>
              <w:br w:type="page"/>
            </w:r>
            <w:r w:rsidRPr="00C80D0D">
              <w:rPr>
                <w:rFonts w:cs="Calibri"/>
                <w:b/>
                <w:sz w:val="18"/>
                <w:szCs w:val="18"/>
              </w:rPr>
              <w:t>Podstawy prowadzenia działalności logistycznej</w:t>
            </w:r>
          </w:p>
        </w:tc>
      </w:tr>
      <w:tr w:rsidR="00257F29" w:rsidRPr="004A59FA" w:rsidTr="001B3B64">
        <w:trPr>
          <w:trHeight w:val="657"/>
        </w:trPr>
        <w:tc>
          <w:tcPr>
            <w:tcW w:w="6345"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Uszczegółowione efekty kształcenia</w:t>
            </w:r>
          </w:p>
          <w:p w:rsidR="00257F29" w:rsidRPr="00C80D0D" w:rsidRDefault="00257F29" w:rsidP="00C80D0D">
            <w:pPr>
              <w:spacing w:after="0" w:line="240" w:lineRule="auto"/>
              <w:jc w:val="center"/>
              <w:rPr>
                <w:rFonts w:cs="Calibri"/>
                <w:b/>
                <w:bCs/>
                <w:sz w:val="18"/>
                <w:szCs w:val="18"/>
                <w:lang w:eastAsia="pl-PL"/>
              </w:rPr>
            </w:pPr>
            <w:r w:rsidRPr="00C80D0D">
              <w:rPr>
                <w:rFonts w:cs="Calibri"/>
                <w:b/>
                <w:bCs/>
                <w:sz w:val="18"/>
                <w:szCs w:val="18"/>
                <w:lang w:eastAsia="pl-PL"/>
              </w:rPr>
              <w:t>Uczeń po zrealizowaniu zajęć potrafi:</w:t>
            </w:r>
          </w:p>
        </w:tc>
        <w:tc>
          <w:tcPr>
            <w:tcW w:w="1418"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 xml:space="preserve">Poziom wymagań programowych </w:t>
            </w:r>
          </w:p>
        </w:tc>
        <w:tc>
          <w:tcPr>
            <w:tcW w:w="1417"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Kategoria taksonomiczna</w:t>
            </w:r>
          </w:p>
        </w:tc>
        <w:tc>
          <w:tcPr>
            <w:tcW w:w="4253" w:type="dxa"/>
            <w:shd w:val="clear" w:color="auto" w:fill="BFBFBF"/>
            <w:vAlign w:val="center"/>
          </w:tcPr>
          <w:p w:rsidR="00257F29" w:rsidRPr="00C80D0D" w:rsidRDefault="00257F29" w:rsidP="00C80D0D">
            <w:pPr>
              <w:spacing w:after="0" w:line="240" w:lineRule="auto"/>
              <w:jc w:val="center"/>
              <w:rPr>
                <w:rFonts w:cs="Calibri"/>
                <w:b/>
                <w:bCs/>
                <w:sz w:val="18"/>
                <w:szCs w:val="18"/>
                <w:lang w:eastAsia="pl-PL"/>
              </w:rPr>
            </w:pPr>
            <w:r w:rsidRPr="00C80D0D">
              <w:rPr>
                <w:rFonts w:cs="Calibri"/>
                <w:b/>
                <w:bCs/>
                <w:sz w:val="18"/>
                <w:szCs w:val="18"/>
                <w:lang w:eastAsia="pl-PL"/>
              </w:rPr>
              <w:t>Materiał nauczania</w:t>
            </w: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PDG(1)3wyjaśnić podstawowe pojęcia związane z gospodarką rynkową;</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val="restart"/>
          </w:tcPr>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Podstawowe pojęcia związane z gospodarką rynkową.</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Regulacje prawne dotyczące ochrony danych osobowych.</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Prawo podatkowe.</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Formy organizacyjno-prawne działalności gospodarczej.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Łańcuch logistyczny.</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Zintegrowany łańcuch dostaw.</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Zasady prowadzenia dokumentacji biurowej.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Urządzenia biurowe.</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Branżowe programy komputerowe.</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Marketing mix.</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Ekonomika przedsiębiorstw.</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Oprogramowanie komputerowe w pracy biurowej.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Korespondencja służbowa.</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Organizacja spotkań służbowych.</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Kultura zawodu</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Urządzenia techniki biurowej.</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Przepisy prawa dotyczące tajemnicy służbowej i ochrony danych osobowych.</w:t>
            </w:r>
          </w:p>
          <w:p w:rsidR="00257F29" w:rsidRPr="00C80D0D" w:rsidRDefault="00257F29" w:rsidP="00C80D0D">
            <w:pPr>
              <w:spacing w:after="0" w:line="240" w:lineRule="auto"/>
              <w:ind w:left="360" w:hanging="360"/>
              <w:contextualSpacing/>
              <w:rPr>
                <w:rFonts w:cs="Calibri"/>
                <w:sz w:val="18"/>
                <w:szCs w:val="18"/>
              </w:rPr>
            </w:pPr>
            <w:r w:rsidRPr="00C80D0D">
              <w:rPr>
                <w:rFonts w:cs="Calibri"/>
                <w:bCs/>
                <w:sz w:val="18"/>
                <w:szCs w:val="18"/>
              </w:rPr>
              <w:t>Archiwizacja dokumentów.</w:t>
            </w: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PDG(1)4przedstawić prawa rządzące gospodarką rynkową;</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PDG(3)3wskazać przepisy dotyczące prowadzenia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PDG(3)4zinterpretować przepisy dotyczące prowadzenia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D</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PGD(4)3 rozróżnić formy organizacyjno-prawne przedsiębiorstw;</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A</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PDG(4)4wyjaśnić zależności między instytucjami i przedsiębiorstwami występującymi w branży logistycznej;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PDG(5)4opisać zadania i funkcje przedsiębiorstw działających na rynku logistycznym;</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PDG(5)5porównać działalność przedsiębiorstw funkcjonujących w branży logistycznej;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PDG(5)6ocenić pozycję przedsiębiorstw działających w branży;</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D</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PDG(6)4przedstawić korzyści wynikające ze współpracy między przedsiębiorstwami;</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cantSplit/>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PDG(6)5wyszukać informacje o przedsiębiorstwach z branży;</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PDG(6)6zaplanować wspólne przedsięwzięcia z różnymi przedsiębiorstwami w branży;</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D</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PDG(8)3wskazać rodzaje pism związanych z prowadzeniem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A</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PDG(8)4przestrzegać zasad redagowania korespondencji służbowej;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PDG(9)4wymienić rodzaje urządzeń biurowych pomocnych w prowadzeniu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A</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PDG(9)5skorzystać z urządzeń biurowych;</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PDG(9)6skorzystać z programów komputerowych wspomagających prowadzenie działalności;</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PDG(10)4 opisać rodzaje działań marketingowych;</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PDG(10)5 zoptymalizować koszty i przychody prowadzonej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PDG(11)4rozróżnić rodzaje kosztów i przychodów prowadzonej działalności;</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PDG(11)5zanalizować wyniki prowadzonej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PDG(11)6zinterpretować wskaźniki ekonomiczne prowadzonej działalności gospodarczej;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D</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PKZ(A.m.)(1)3wyjaśnić  podstawowe pojęcia z zakresu mikroekonomii;</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B</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PKZ(A.m.)(3)4przedstawić zasady redagowania pism występujących w korespondencji służbowej;</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spacing w:after="0" w:line="240" w:lineRule="auto"/>
              <w:ind w:left="175"/>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PKZ(A.m.)(7)4opisać zasady przechowywania dokumentów;</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vAlign w:val="center"/>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345" w:type="dxa"/>
            <w:vAlign w:val="bottom"/>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PKZ(A.m.)(7)5zastosować zasady przechowywania dokumentów.</w:t>
            </w:r>
          </w:p>
        </w:tc>
        <w:tc>
          <w:tcPr>
            <w:tcW w:w="1418"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P</w:t>
            </w:r>
          </w:p>
        </w:tc>
        <w:tc>
          <w:tcPr>
            <w:tcW w:w="1417" w:type="dxa"/>
          </w:tcPr>
          <w:p w:rsidR="00257F29" w:rsidRPr="00C80D0D" w:rsidRDefault="00257F29" w:rsidP="00C80D0D">
            <w:pPr>
              <w:spacing w:after="0" w:line="240" w:lineRule="auto"/>
              <w:contextualSpacing/>
              <w:jc w:val="center"/>
              <w:rPr>
                <w:rFonts w:cs="Calibri"/>
                <w:bCs/>
                <w:sz w:val="18"/>
                <w:szCs w:val="18"/>
              </w:rPr>
            </w:pPr>
            <w:r w:rsidRPr="00C80D0D">
              <w:rPr>
                <w:rFonts w:cs="Calibri"/>
                <w:bCs/>
                <w:sz w:val="18"/>
                <w:szCs w:val="18"/>
              </w:rPr>
              <w:t>C</w:t>
            </w:r>
          </w:p>
        </w:tc>
        <w:tc>
          <w:tcPr>
            <w:tcW w:w="4253"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Planowane zadania</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Obserwacja czynności lub uczestniczenie w obsłudze stanowisk związanych z transportem i logistyką, ze szczególnym uwzględnieniem organizacji usług logistycznych. Wskazane jest, aby uczeń mógł obserwować pracę osoby zatrudnionej na stanowisku logistyka.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257F29" w:rsidRPr="004A59FA" w:rsidTr="001B3B64">
        <w:trPr>
          <w:trHeight w:val="414"/>
        </w:trPr>
        <w:tc>
          <w:tcPr>
            <w:tcW w:w="13433" w:type="dxa"/>
            <w:gridSpan w:val="4"/>
            <w:vAlign w:val="center"/>
          </w:tcPr>
          <w:p w:rsidR="00257F29" w:rsidRPr="00C80D0D" w:rsidRDefault="00257F29" w:rsidP="00C80D0D">
            <w:pPr>
              <w:autoSpaceDE w:val="0"/>
              <w:autoSpaceDN w:val="0"/>
              <w:adjustRightInd w:val="0"/>
              <w:spacing w:after="0" w:line="240" w:lineRule="auto"/>
              <w:rPr>
                <w:rFonts w:cs="Calibri"/>
                <w:b/>
                <w:bCs/>
                <w:sz w:val="18"/>
                <w:szCs w:val="18"/>
                <w:lang w:eastAsia="pl-PL"/>
              </w:rPr>
            </w:pP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b/>
                <w:bCs/>
                <w:sz w:val="18"/>
                <w:szCs w:val="18"/>
                <w:lang w:eastAsia="pl-PL"/>
              </w:rPr>
              <w:t>Warunki osiągania efektów kształcenia w tym środki dydaktyczne, metody, formy organizacyjne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Szkoła organizuje praktyki zawodowe w podmiocie zapewniającym rzeczywiste warunki pracy właściwe dla nauczanego zawodu w wymiarze 4 tygodni (160 godzin).</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Przed rozpoczęciem praktyk zawodowych należy zapoznać uczniów z programem praktyk zawodowych, regulaminem i przepisami bezpieczeństwa i higieny pracy oraz ochrony przeciwpożarowej obowiązującymi w zakładzie pracy.</w:t>
            </w:r>
          </w:p>
          <w:p w:rsidR="00257F29" w:rsidRPr="00C80D0D" w:rsidRDefault="00257F29" w:rsidP="00C80D0D">
            <w:pPr>
              <w:spacing w:after="0" w:line="240" w:lineRule="auto"/>
              <w:jc w:val="both"/>
              <w:rPr>
                <w:rFonts w:cs="Calibri"/>
                <w:bCs/>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Środki dydaktyczne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Rzeczywiste warunki pracy właściwe dla zawodu logistyka.</w:t>
            </w:r>
          </w:p>
          <w:p w:rsidR="00257F29" w:rsidRPr="00C80D0D" w:rsidRDefault="00257F29" w:rsidP="00C80D0D">
            <w:pPr>
              <w:spacing w:after="0" w:line="240" w:lineRule="auto"/>
              <w:jc w:val="both"/>
              <w:rPr>
                <w:rFonts w:cs="Calibri"/>
                <w:bCs/>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Zalecane metody dydaktyczne</w:t>
            </w:r>
          </w:p>
          <w:p w:rsidR="00257F29" w:rsidRPr="00C80D0D" w:rsidRDefault="00257F29" w:rsidP="00C80D0D">
            <w:pPr>
              <w:spacing w:after="0" w:line="240" w:lineRule="auto"/>
              <w:jc w:val="both"/>
              <w:rPr>
                <w:rFonts w:cs="Calibri"/>
                <w:sz w:val="18"/>
                <w:szCs w:val="18"/>
                <w:lang w:eastAsia="pl-PL"/>
              </w:rPr>
            </w:pPr>
            <w:r w:rsidRPr="00C80D0D">
              <w:rPr>
                <w:rFonts w:cs="Calibri"/>
                <w:bCs/>
                <w:sz w:val="18"/>
                <w:szCs w:val="18"/>
                <w:lang w:eastAsia="pl-PL"/>
              </w:rPr>
              <w:t>Praktyki zawodowe powinny odbywać się w dni robocze, poza porą nocną. W okresie praktyk zawodowych uczeń podlega obowiązkom wynikającym z regulaminu szkolnego, a ponadto ma obowiązek zastosować</w:t>
            </w:r>
            <w:r w:rsidRPr="00C80D0D">
              <w:rPr>
                <w:rFonts w:cs="Calibri"/>
                <w:bCs/>
                <w:color w:val="0000FF"/>
                <w:sz w:val="18"/>
                <w:szCs w:val="18"/>
                <w:lang w:eastAsia="pl-PL"/>
              </w:rPr>
              <w:t xml:space="preserve"> </w:t>
            </w:r>
            <w:r w:rsidRPr="00C80D0D">
              <w:rPr>
                <w:rFonts w:cs="Calibri"/>
                <w:bCs/>
                <w:sz w:val="18"/>
                <w:szCs w:val="18"/>
                <w:lang w:eastAsia="pl-PL"/>
              </w:rPr>
              <w:t xml:space="preserve">się do zasad obowiązujących w przedsiębiorstwie, w którym odbywa praktyki zawodowe. </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Przedsiębiorstwo, w którym odbywa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w:t>
            </w:r>
            <w:r w:rsidRPr="00C80D0D">
              <w:rPr>
                <w:rFonts w:cs="Calibri"/>
                <w:color w:val="0000FF"/>
                <w:sz w:val="18"/>
                <w:szCs w:val="18"/>
                <w:lang w:eastAsia="pl-PL"/>
              </w:rPr>
              <w:t xml:space="preserve"> </w:t>
            </w:r>
            <w:r w:rsidRPr="00C80D0D">
              <w:rPr>
                <w:rFonts w:cs="Calibri"/>
                <w:sz w:val="18"/>
                <w:szCs w:val="18"/>
                <w:lang w:eastAsia="pl-PL"/>
              </w:rPr>
              <w:t>dziennik praktyk zawodowych. Uczniowie powinni uczestniczyć w procesie pracy oraz w różnorodnych formach szkolenia organizowanych przez opiekuna praktyk, takich jak: pokazy, instruktaże, obserwacje pracy specjalistów oraz spotkania i zajęcia szkoleniowe.</w:t>
            </w:r>
          </w:p>
          <w:p w:rsidR="00257F29" w:rsidRPr="00C80D0D" w:rsidRDefault="00257F29" w:rsidP="00C80D0D">
            <w:pPr>
              <w:autoSpaceDE w:val="0"/>
              <w:autoSpaceDN w:val="0"/>
              <w:adjustRightInd w:val="0"/>
              <w:spacing w:after="0" w:line="240" w:lineRule="auto"/>
              <w:rPr>
                <w:rFonts w:cs="Calibri"/>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Formy organizacyjne</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Zajęcia powinny być prowadzone z wykorzystaniem zróżnicowanych form: indywidualnie oraz grupowo. Zajęcia należy prowadzić w grupach do 5 osób lub nawet mniejszych (do 1-osobowych), jeżeli wymaga tego specyfika przedsiębiorstwa.</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 xml:space="preserve">Propozycje kryteriów oceny i metod sprawdzania efektów kształcenia </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Oceniania umiejętności opanowanych podczas praktyk zawodowych dokonuje opiekun praktyk na podstawie obserwacji wykonywanych przez ucznia zadań oraz sposobu prowadzenia dziennika praktyk zawodowych.</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sz w:val="18"/>
                <w:szCs w:val="18"/>
                <w:lang w:eastAsia="pl-PL"/>
              </w:rPr>
            </w:pPr>
            <w:r w:rsidRPr="00C80D0D">
              <w:rPr>
                <w:rFonts w:cs="Calibri"/>
                <w:b/>
                <w:bCs/>
                <w:sz w:val="18"/>
                <w:szCs w:val="18"/>
                <w:lang w:eastAsia="pl-PL"/>
              </w:rPr>
              <w:t>Formy indywidualizacji pracy uczniów</w:t>
            </w:r>
            <w:r w:rsidRPr="00C80D0D">
              <w:rPr>
                <w:rFonts w:cs="Calibri"/>
                <w:sz w:val="18"/>
                <w:szCs w:val="18"/>
                <w:lang w:eastAsia="pl-PL"/>
              </w:rPr>
              <w:t xml:space="preserve"> </w:t>
            </w:r>
            <w:r w:rsidRPr="00C80D0D">
              <w:rPr>
                <w:rFonts w:cs="Calibri"/>
                <w:b/>
                <w:sz w:val="18"/>
                <w:szCs w:val="18"/>
                <w:lang w:eastAsia="pl-PL"/>
              </w:rPr>
              <w:t>uwzględniające</w:t>
            </w:r>
            <w:r w:rsidRPr="00C80D0D">
              <w:rPr>
                <w:rFonts w:cs="Calibri"/>
                <w:sz w:val="18"/>
                <w:szCs w:val="18"/>
                <w:lang w:eastAsia="pl-PL"/>
              </w:rPr>
              <w:t xml:space="preserve">: </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potrzeb ucznia.</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możliwości ucznia.</w:t>
            </w:r>
          </w:p>
        </w:tc>
      </w:tr>
    </w:tbl>
    <w:p w:rsidR="00257F29" w:rsidRPr="00C80D0D" w:rsidRDefault="00257F29" w:rsidP="00C80D0D">
      <w:pPr>
        <w:spacing w:after="0" w:line="240" w:lineRule="auto"/>
        <w:rPr>
          <w:rFonts w:cs="Calibri"/>
          <w:sz w:val="2"/>
          <w:szCs w:val="2"/>
          <w:lang w:eastAsia="pl-PL"/>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1417"/>
        <w:gridCol w:w="1418"/>
        <w:gridCol w:w="3969"/>
      </w:tblGrid>
      <w:tr w:rsidR="00257F29" w:rsidRPr="004A59FA" w:rsidTr="001B3B64">
        <w:trPr>
          <w:trHeight w:val="271"/>
          <w:tblHeader/>
        </w:trPr>
        <w:tc>
          <w:tcPr>
            <w:tcW w:w="13433" w:type="dxa"/>
            <w:gridSpan w:val="4"/>
            <w:shd w:val="clear" w:color="auto" w:fill="BFBFBF"/>
          </w:tcPr>
          <w:p w:rsidR="00257F29" w:rsidRPr="00C80D0D" w:rsidRDefault="00257F29" w:rsidP="00C80D0D">
            <w:pPr>
              <w:pageBreakBefore/>
              <w:spacing w:after="0" w:line="240" w:lineRule="auto"/>
              <w:jc w:val="both"/>
              <w:rPr>
                <w:rFonts w:cs="Calibri"/>
                <w:b/>
                <w:bCs/>
                <w:sz w:val="18"/>
                <w:szCs w:val="18"/>
                <w:lang w:eastAsia="pl-PL"/>
              </w:rPr>
            </w:pPr>
            <w:r w:rsidRPr="00C80D0D">
              <w:rPr>
                <w:rFonts w:cs="Calibri"/>
                <w:sz w:val="18"/>
                <w:szCs w:val="18"/>
                <w:lang w:eastAsia="pl-PL"/>
              </w:rPr>
              <w:lastRenderedPageBreak/>
              <w:br w:type="page"/>
            </w:r>
            <w:r w:rsidRPr="00C80D0D">
              <w:rPr>
                <w:rFonts w:cs="Calibri"/>
                <w:b/>
                <w:sz w:val="18"/>
                <w:szCs w:val="18"/>
                <w:lang w:eastAsia="pl-PL"/>
              </w:rPr>
              <w:t>3.  Procesy transportowe i magazynowe</w:t>
            </w:r>
          </w:p>
        </w:tc>
      </w:tr>
      <w:tr w:rsidR="00257F29" w:rsidRPr="004A59FA" w:rsidTr="001B3B64">
        <w:trPr>
          <w:trHeight w:val="698"/>
        </w:trPr>
        <w:tc>
          <w:tcPr>
            <w:tcW w:w="6629"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Uszczegółowione efekty kształcenia</w:t>
            </w:r>
          </w:p>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Uczeń po zrealizowaniu zajęć potrafi:</w:t>
            </w:r>
          </w:p>
        </w:tc>
        <w:tc>
          <w:tcPr>
            <w:tcW w:w="1417"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 xml:space="preserve">Poziom wymagań programowych </w:t>
            </w:r>
          </w:p>
        </w:tc>
        <w:tc>
          <w:tcPr>
            <w:tcW w:w="1418" w:type="dxa"/>
            <w:shd w:val="clear" w:color="auto" w:fill="BFBFBF"/>
            <w:vAlign w:val="center"/>
          </w:tcPr>
          <w:p w:rsidR="00257F29" w:rsidRPr="00C80D0D" w:rsidRDefault="00257F29" w:rsidP="00C80D0D">
            <w:pPr>
              <w:spacing w:after="0" w:line="240" w:lineRule="auto"/>
              <w:jc w:val="center"/>
              <w:rPr>
                <w:rFonts w:cs="Calibri"/>
                <w:sz w:val="18"/>
                <w:szCs w:val="18"/>
                <w:lang w:eastAsia="pl-PL"/>
              </w:rPr>
            </w:pPr>
            <w:r w:rsidRPr="00C80D0D">
              <w:rPr>
                <w:rFonts w:cs="Calibri"/>
                <w:b/>
                <w:bCs/>
                <w:sz w:val="18"/>
                <w:szCs w:val="18"/>
                <w:lang w:eastAsia="pl-PL"/>
              </w:rPr>
              <w:t>Kategoria taksonomiczna</w:t>
            </w:r>
          </w:p>
        </w:tc>
        <w:tc>
          <w:tcPr>
            <w:tcW w:w="3969" w:type="dxa"/>
            <w:shd w:val="clear" w:color="auto" w:fill="BFBFBF"/>
            <w:vAlign w:val="center"/>
          </w:tcPr>
          <w:p w:rsidR="00257F29" w:rsidRPr="00C80D0D" w:rsidRDefault="00257F29" w:rsidP="00C80D0D">
            <w:pPr>
              <w:spacing w:after="0" w:line="240" w:lineRule="auto"/>
              <w:jc w:val="center"/>
              <w:rPr>
                <w:rFonts w:cs="Calibri"/>
                <w:b/>
                <w:bCs/>
                <w:sz w:val="18"/>
                <w:szCs w:val="18"/>
                <w:lang w:eastAsia="pl-PL"/>
              </w:rPr>
            </w:pPr>
            <w:r w:rsidRPr="00C80D0D">
              <w:rPr>
                <w:rFonts w:cs="Calibri"/>
                <w:b/>
                <w:bCs/>
                <w:sz w:val="18"/>
                <w:szCs w:val="18"/>
                <w:lang w:eastAsia="pl-PL"/>
              </w:rPr>
              <w:t>Materiał nauczania</w:t>
            </w: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rPr>
                <w:rFonts w:cs="Calibri"/>
                <w:b/>
                <w:bCs/>
                <w:sz w:val="18"/>
                <w:szCs w:val="18"/>
                <w:shd w:val="clear" w:color="auto" w:fill="C2D69B"/>
                <w:lang w:eastAsia="pl-PL"/>
              </w:rPr>
            </w:pPr>
            <w:r w:rsidRPr="00C80D0D">
              <w:rPr>
                <w:rFonts w:cs="Calibri"/>
                <w:sz w:val="18"/>
                <w:szCs w:val="18"/>
                <w:lang w:eastAsia="pl-PL"/>
              </w:rPr>
              <w:t>A.30.2(4)1 rozpoznać magazyny;</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val="restart"/>
          </w:tcPr>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Budynki i budowle magazynowe.</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Podstawowe i uzupełniające usługi magazynowe.</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Wyposażenie magazynu podstawowe i pomocnicze.</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Rozmieszczanie zapasów w magazynie.</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Odpowiedzialność pracowników magazynu</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Kanały dystrybucji.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współpracy w kanale dystrybucji.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lokalizowania centrum dystrybucji.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Najważniejsze centra dystrybucji w kraju i za granicą.</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Dokumenty procesów dystrybucji.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przepływu dokumentacji.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sporządzania i przechowywania dokumentacji.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Środki transportu.</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Przewozy ładunków specjalnych i niebezpiecznych.</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Urządzenia przeładunkowe i manipulacyjne.</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Systemy monitorowania i rejestrowania ładunków.</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Wykorzystanie map drogowych i szlaków komunikacyjnych, rozkładów jazdy przewozów regularnych.</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doboru środków technicznych do wykonania procesów transportowych.</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Międzynarodowe standardy identyfikacji ładunków i wymiany danych.</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Oznaczenia przewożonych ładunków.</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Regulacje prawne dotyczące przepływu, przechowywania i ochrony informacji.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gospodarki odpadami.</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Zasady sporządzania dokumentów w jednostkach gospodarczych.</w:t>
            </w:r>
          </w:p>
          <w:p w:rsidR="00257F29" w:rsidRPr="00C80D0D" w:rsidRDefault="00257F29" w:rsidP="00C80D0D">
            <w:pPr>
              <w:spacing w:after="0" w:line="240" w:lineRule="auto"/>
              <w:ind w:left="360" w:hanging="360"/>
              <w:contextualSpacing/>
              <w:rPr>
                <w:rFonts w:cs="Calibri"/>
                <w:bCs/>
                <w:sz w:val="18"/>
                <w:szCs w:val="18"/>
              </w:rPr>
            </w:pPr>
            <w:r w:rsidRPr="00C80D0D">
              <w:rPr>
                <w:rFonts w:cs="Calibri"/>
                <w:bCs/>
                <w:sz w:val="18"/>
                <w:szCs w:val="18"/>
              </w:rPr>
              <w:t>Przepisy i zasady dotyczące organizacji transportu pasażerskiego.</w:t>
            </w:r>
          </w:p>
          <w:p w:rsidR="00257F29" w:rsidRPr="00C80D0D" w:rsidRDefault="00257F29" w:rsidP="00C80D0D">
            <w:pPr>
              <w:autoSpaceDE w:val="0"/>
              <w:autoSpaceDN w:val="0"/>
              <w:adjustRightInd w:val="0"/>
              <w:spacing w:after="0" w:line="240" w:lineRule="auto"/>
              <w:ind w:left="-86"/>
              <w:rPr>
                <w:rFonts w:cs="Calibri"/>
                <w:sz w:val="18"/>
                <w:szCs w:val="18"/>
                <w:lang w:eastAsia="pl-PL"/>
              </w:rPr>
            </w:pPr>
          </w:p>
          <w:p w:rsidR="00257F29" w:rsidRPr="00C80D0D" w:rsidRDefault="00257F29" w:rsidP="00C80D0D">
            <w:pPr>
              <w:autoSpaceDE w:val="0"/>
              <w:autoSpaceDN w:val="0"/>
              <w:adjustRightInd w:val="0"/>
              <w:spacing w:after="0" w:line="240" w:lineRule="auto"/>
              <w:ind w:left="142"/>
              <w:rPr>
                <w:rFonts w:cs="Calibri"/>
                <w:sz w:val="18"/>
                <w:szCs w:val="18"/>
                <w:lang w:eastAsia="pl-PL"/>
              </w:rPr>
            </w:pPr>
          </w:p>
          <w:p w:rsidR="00257F29" w:rsidRPr="00C80D0D" w:rsidRDefault="00257F29" w:rsidP="00C80D0D">
            <w:pPr>
              <w:spacing w:after="0" w:line="240" w:lineRule="auto"/>
              <w:contextualSpacing/>
              <w:rPr>
                <w:rFonts w:cs="Calibri"/>
                <w:bCs/>
                <w:sz w:val="18"/>
                <w:szCs w:val="18"/>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A.30.2(4)2wyjaśnić funkcje i zadania magazynów w systemie logistycznym;</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A.30.2(4)3 dobrać wyposażenie magazynu do przechowywanych materiałów;</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A.30.2(4)4 scharakteryzować parametry decydujące o sposobie i czasie przechowywania materiałów;</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 xml:space="preserve">A.30.2(4)5 dobrać temperaturę, wilgotność i czas przechowywania materiałów; </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ind w:firstLine="34"/>
              <w:rPr>
                <w:rFonts w:cs="Calibri"/>
                <w:sz w:val="18"/>
                <w:szCs w:val="18"/>
                <w:lang w:eastAsia="pl-PL"/>
              </w:rPr>
            </w:pPr>
            <w:r w:rsidRPr="00C80D0D">
              <w:rPr>
                <w:rFonts w:cs="Calibri"/>
                <w:sz w:val="18"/>
                <w:szCs w:val="18"/>
                <w:lang w:eastAsia="pl-PL"/>
              </w:rPr>
              <w:t>A.30.2(6)1 opisać zasady przyjęcia towarów do magazynu;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ind w:firstLine="34"/>
              <w:rPr>
                <w:rFonts w:cs="Calibri"/>
                <w:sz w:val="18"/>
                <w:szCs w:val="18"/>
              </w:rPr>
            </w:pPr>
            <w:r w:rsidRPr="00C80D0D">
              <w:rPr>
                <w:rFonts w:cs="Calibri"/>
                <w:sz w:val="18"/>
                <w:szCs w:val="18"/>
              </w:rPr>
              <w:t>A.30.2(6)3 opisać zasady rozmieszczenia towar</w:t>
            </w:r>
            <w:r w:rsidRPr="00C80D0D">
              <w:rPr>
                <w:rFonts w:cs="Calibri"/>
                <w:sz w:val="18"/>
                <w:szCs w:val="18"/>
                <w:lang w:eastAsia="pl-PL"/>
              </w:rPr>
              <w:t>u</w:t>
            </w:r>
            <w:r w:rsidRPr="00C80D0D">
              <w:rPr>
                <w:rFonts w:cs="Calibri"/>
                <w:sz w:val="18"/>
                <w:szCs w:val="18"/>
              </w:rPr>
              <w:t xml:space="preserve"> w magazynie zgodnie z systemem przechowywania zapasów;</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ind w:firstLine="34"/>
              <w:rPr>
                <w:rFonts w:cs="Calibri"/>
                <w:sz w:val="18"/>
                <w:szCs w:val="18"/>
                <w:lang w:eastAsia="pl-PL"/>
              </w:rPr>
            </w:pPr>
            <w:r w:rsidRPr="00C80D0D">
              <w:rPr>
                <w:rFonts w:cs="Calibri"/>
                <w:sz w:val="18"/>
                <w:szCs w:val="18"/>
                <w:lang w:eastAsia="pl-PL"/>
              </w:rPr>
              <w:t>A.30.2(6)3zaplanować wydanie towaru z magazynu;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ind w:firstLine="34"/>
              <w:rPr>
                <w:rFonts w:cs="Calibri"/>
                <w:sz w:val="18"/>
                <w:szCs w:val="18"/>
              </w:rPr>
            </w:pPr>
            <w:r w:rsidRPr="00C80D0D">
              <w:rPr>
                <w:rFonts w:cs="Calibri"/>
                <w:sz w:val="18"/>
                <w:szCs w:val="18"/>
              </w:rPr>
              <w:t>A.30.2(7)1zaplanować proces pakowania;</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ind w:firstLine="34"/>
              <w:rPr>
                <w:rFonts w:cs="Calibri"/>
                <w:sz w:val="18"/>
                <w:szCs w:val="18"/>
              </w:rPr>
            </w:pPr>
            <w:r w:rsidRPr="00C80D0D">
              <w:rPr>
                <w:rFonts w:cs="Calibri"/>
                <w:sz w:val="18"/>
                <w:szCs w:val="18"/>
              </w:rPr>
              <w:t>A.30.2(7)2 zapakować produkty;</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ind w:firstLine="34"/>
              <w:rPr>
                <w:rFonts w:cs="Calibri"/>
                <w:sz w:val="18"/>
                <w:szCs w:val="18"/>
              </w:rPr>
            </w:pPr>
            <w:r w:rsidRPr="00C80D0D">
              <w:rPr>
                <w:rFonts w:cs="Calibri"/>
                <w:sz w:val="18"/>
                <w:szCs w:val="18"/>
              </w:rPr>
              <w:t>A.30.2(7)5 zanalizować przepisy prawa dotyczące gospodarki opakowaniami;</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ind w:firstLine="34"/>
              <w:rPr>
                <w:rFonts w:cs="Calibri"/>
                <w:sz w:val="18"/>
                <w:szCs w:val="18"/>
                <w:lang w:eastAsia="pl-PL"/>
              </w:rPr>
            </w:pPr>
            <w:r w:rsidRPr="00C80D0D">
              <w:rPr>
                <w:rFonts w:cs="Calibri"/>
                <w:sz w:val="18"/>
                <w:szCs w:val="18"/>
                <w:lang w:eastAsia="pl-PL"/>
              </w:rPr>
              <w:t>A.30.2(9)1 ocenić gospodarowanie zapasami na podstawie mierników efektywności gospodarki materiałowej;</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ind w:firstLine="34"/>
              <w:rPr>
                <w:rFonts w:cs="Calibri"/>
                <w:sz w:val="18"/>
                <w:szCs w:val="18"/>
                <w:lang w:eastAsia="pl-PL"/>
              </w:rPr>
            </w:pPr>
            <w:r w:rsidRPr="00C80D0D">
              <w:rPr>
                <w:rFonts w:cs="Calibri"/>
                <w:sz w:val="18"/>
                <w:szCs w:val="18"/>
                <w:lang w:eastAsia="pl-PL"/>
              </w:rPr>
              <w:t>A.30.2(9)2 opracować wyniki oceny wskaźnikowej i procesowej pracy magazynu;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D</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autoSpaceDE w:val="0"/>
              <w:autoSpaceDN w:val="0"/>
              <w:adjustRightInd w:val="0"/>
              <w:spacing w:after="0" w:line="240" w:lineRule="auto"/>
              <w:ind w:firstLine="34"/>
              <w:rPr>
                <w:rFonts w:cs="Calibri"/>
                <w:sz w:val="18"/>
                <w:szCs w:val="18"/>
                <w:lang w:eastAsia="pl-PL"/>
              </w:rPr>
            </w:pPr>
            <w:r w:rsidRPr="00C80D0D">
              <w:rPr>
                <w:rFonts w:cs="Calibri"/>
                <w:sz w:val="18"/>
                <w:szCs w:val="18"/>
                <w:lang w:eastAsia="pl-PL"/>
              </w:rPr>
              <w:t>A.30.2(9)2 opisać zasady odpowiedzialności pracowników magazynu za powierzone mienie;</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 xml:space="preserve">3(2)2 </w:t>
            </w:r>
            <w:r w:rsidRPr="00C80D0D">
              <w:rPr>
                <w:rFonts w:cs="Calibri"/>
                <w:sz w:val="18"/>
                <w:szCs w:val="18"/>
              </w:rPr>
              <w:t xml:space="preserve">wskazać czynniki decydujące o doborze kanału dystrybucji; </w:t>
            </w:r>
          </w:p>
        </w:tc>
        <w:tc>
          <w:tcPr>
            <w:tcW w:w="1417"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3(3)1wskazać czynniki decydujące o wyborze kontrahentów;</w:t>
            </w:r>
          </w:p>
        </w:tc>
        <w:tc>
          <w:tcPr>
            <w:tcW w:w="1417"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3(7)3 opisać mechanizm funkcjonowania centrów logistycznych;</w:t>
            </w:r>
          </w:p>
        </w:tc>
        <w:tc>
          <w:tcPr>
            <w:tcW w:w="1417"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3(9)3sporządzić dokumenty przewozowe dotyczące przepływu miedzy ogniwami kanału dystrybucji w języku polskim;</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3(9)4sporządzić dokumenty handlowe dotyczące przepływu między kanałami dystrybucji;</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rPr>
            </w:pPr>
            <w:r w:rsidRPr="00C80D0D">
              <w:rPr>
                <w:rFonts w:cs="Calibri"/>
                <w:sz w:val="18"/>
                <w:szCs w:val="18"/>
              </w:rPr>
              <w:t>A.30.</w:t>
            </w:r>
            <w:r w:rsidRPr="00C80D0D">
              <w:rPr>
                <w:rFonts w:cs="Calibri"/>
                <w:sz w:val="18"/>
                <w:szCs w:val="18"/>
                <w:lang w:eastAsia="pl-PL"/>
              </w:rPr>
              <w:t>3(9)5sprawdzić poprawność sporządzenia dokumentów;</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b/>
                <w:bCs/>
                <w:sz w:val="18"/>
                <w:szCs w:val="18"/>
                <w:lang w:eastAsia="pl-PL"/>
              </w:rPr>
            </w:pPr>
            <w:r w:rsidRPr="00C80D0D">
              <w:rPr>
                <w:rFonts w:cs="Calibri"/>
                <w:sz w:val="18"/>
                <w:szCs w:val="18"/>
                <w:lang w:eastAsia="pl-PL"/>
              </w:rPr>
              <w:t>A.31.1(2)2 scharakteryzować typowe środki transportu;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A.31.1(2)3 scharakteryzować środki transportu ładunków niebezpiecznych i specjalnych;</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lastRenderedPageBreak/>
              <w:t>A.31.1(2)4 określić zagrożenia związane z transportem ładunków niebezpiecznych i specjalnych;</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A.31.1(2)5 scharakteryzować techniczne wyposażenie magazynu oraz urządzenia przeładunkowe i manipulacyjne;</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A.31.1(3)4 dobrać optymalne miejsca składowania i przeładunku;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A.31.1(3)5 rozróżnić czynności determinujące czas dostawy w różnych gałęziach transportu;</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bCs/>
                <w:sz w:val="18"/>
                <w:szCs w:val="18"/>
                <w:lang w:eastAsia="pl-PL"/>
              </w:rPr>
            </w:pPr>
            <w:r w:rsidRPr="00C80D0D">
              <w:rPr>
                <w:rFonts w:cs="Calibri"/>
                <w:sz w:val="18"/>
                <w:szCs w:val="18"/>
                <w:lang w:eastAsia="pl-PL"/>
              </w:rPr>
              <w:t>A.31.1(4)1 posłużyć</w:t>
            </w:r>
            <w:r w:rsidRPr="00C80D0D">
              <w:rPr>
                <w:rFonts w:cs="Calibri"/>
                <w:bCs/>
                <w:sz w:val="18"/>
                <w:szCs w:val="18"/>
                <w:lang w:eastAsia="pl-PL"/>
              </w:rPr>
              <w:t xml:space="preserve"> się mapami drogowymi i szlakami komunikacyjnymi podczas planowania przewozu osób i towarów;</w:t>
            </w:r>
          </w:p>
        </w:tc>
        <w:tc>
          <w:tcPr>
            <w:tcW w:w="1417"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P</w:t>
            </w:r>
          </w:p>
        </w:tc>
        <w:tc>
          <w:tcPr>
            <w:tcW w:w="1418" w:type="dxa"/>
            <w:vAlign w:val="center"/>
          </w:tcPr>
          <w:p w:rsidR="00257F29" w:rsidRPr="00C80D0D" w:rsidRDefault="00257F29" w:rsidP="00C80D0D">
            <w:pPr>
              <w:spacing w:after="0" w:line="240" w:lineRule="auto"/>
              <w:ind w:left="142"/>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A.32.1(6)1przygotować dokumenty związane z procesami logistycznymi w jednostce gospodarczej;</w:t>
            </w:r>
          </w:p>
        </w:tc>
        <w:tc>
          <w:tcPr>
            <w:tcW w:w="1417"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A.32.1(6)2sporządzić korespondencję handlową;</w:t>
            </w:r>
          </w:p>
        </w:tc>
        <w:tc>
          <w:tcPr>
            <w:tcW w:w="1417"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A.32.2(1)2zastosować normy i standardy elektronicznej wymiany danych;</w:t>
            </w:r>
          </w:p>
        </w:tc>
        <w:tc>
          <w:tcPr>
            <w:tcW w:w="1417"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C</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320"/>
        </w:trPr>
        <w:tc>
          <w:tcPr>
            <w:tcW w:w="6629" w:type="dxa"/>
          </w:tcPr>
          <w:p w:rsidR="00257F29" w:rsidRPr="00C80D0D" w:rsidRDefault="00257F29" w:rsidP="00C80D0D">
            <w:pPr>
              <w:spacing w:after="0" w:line="240" w:lineRule="auto"/>
              <w:rPr>
                <w:rFonts w:cs="Calibri"/>
                <w:sz w:val="18"/>
                <w:szCs w:val="18"/>
                <w:lang w:eastAsia="pl-PL"/>
              </w:rPr>
            </w:pPr>
            <w:r w:rsidRPr="00C80D0D">
              <w:rPr>
                <w:rFonts w:cs="Calibri"/>
                <w:sz w:val="18"/>
                <w:szCs w:val="18"/>
                <w:lang w:eastAsia="pl-PL"/>
              </w:rPr>
              <w:t>A.32.2(2) 1.opisać zasady komunikacji zbiorowej.</w:t>
            </w:r>
          </w:p>
        </w:tc>
        <w:tc>
          <w:tcPr>
            <w:tcW w:w="1417"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P</w:t>
            </w:r>
          </w:p>
        </w:tc>
        <w:tc>
          <w:tcPr>
            <w:tcW w:w="1418" w:type="dxa"/>
          </w:tcPr>
          <w:p w:rsidR="00257F29" w:rsidRPr="00C80D0D" w:rsidRDefault="00257F29" w:rsidP="00C80D0D">
            <w:pPr>
              <w:spacing w:after="0" w:line="240" w:lineRule="auto"/>
              <w:jc w:val="center"/>
              <w:rPr>
                <w:rFonts w:cs="Calibri"/>
                <w:sz w:val="18"/>
                <w:szCs w:val="18"/>
              </w:rPr>
            </w:pPr>
            <w:r w:rsidRPr="00C80D0D">
              <w:rPr>
                <w:rFonts w:cs="Calibri"/>
                <w:sz w:val="18"/>
                <w:szCs w:val="18"/>
              </w:rPr>
              <w:t>B</w:t>
            </w:r>
          </w:p>
        </w:tc>
        <w:tc>
          <w:tcPr>
            <w:tcW w:w="3969" w:type="dxa"/>
            <w:vMerge/>
          </w:tcPr>
          <w:p w:rsidR="00257F29" w:rsidRPr="00C80D0D" w:rsidRDefault="00257F29" w:rsidP="00C80D0D">
            <w:pPr>
              <w:numPr>
                <w:ilvl w:val="0"/>
                <w:numId w:val="2"/>
              </w:numPr>
              <w:autoSpaceDE w:val="0"/>
              <w:autoSpaceDN w:val="0"/>
              <w:adjustRightInd w:val="0"/>
              <w:spacing w:after="0" w:line="240" w:lineRule="auto"/>
              <w:ind w:left="176" w:hanging="176"/>
              <w:rPr>
                <w:rFonts w:cs="Calibri"/>
                <w:sz w:val="18"/>
                <w:szCs w:val="18"/>
                <w:lang w:eastAsia="pl-PL"/>
              </w:rPr>
            </w:pP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Planowane zadania</w:t>
            </w:r>
          </w:p>
          <w:p w:rsidR="00257F29" w:rsidRPr="00C80D0D" w:rsidRDefault="00257F29" w:rsidP="00C80D0D">
            <w:pPr>
              <w:autoSpaceDE w:val="0"/>
              <w:autoSpaceDN w:val="0"/>
              <w:adjustRightInd w:val="0"/>
              <w:spacing w:after="0" w:line="240" w:lineRule="auto"/>
              <w:jc w:val="both"/>
              <w:rPr>
                <w:rFonts w:cs="Calibri"/>
                <w:bCs/>
                <w:sz w:val="18"/>
                <w:szCs w:val="18"/>
                <w:lang w:eastAsia="pl-PL"/>
              </w:rPr>
            </w:pPr>
            <w:r w:rsidRPr="00C80D0D">
              <w:rPr>
                <w:rFonts w:cs="Calibri"/>
                <w:sz w:val="18"/>
                <w:szCs w:val="18"/>
                <w:lang w:eastAsia="pl-PL"/>
              </w:rPr>
              <w:t>Obserwacja czynności lub uczestniczenie w obsłudze stanowisk związanych z transportem i logistyką, ze szczególnym uwzględnieniem procesów transportowych i magazynowych. Wskazane jest, aby uczeń mógł obserwować pracę osoby zatrudnionej na stanowisku logistyka.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257F29" w:rsidRPr="004A59FA" w:rsidTr="001B3B64">
        <w:trPr>
          <w:trHeight w:val="414"/>
        </w:trPr>
        <w:tc>
          <w:tcPr>
            <w:tcW w:w="13433" w:type="dxa"/>
            <w:gridSpan w:val="4"/>
            <w:vAlign w:val="center"/>
          </w:tcPr>
          <w:p w:rsidR="00257F29" w:rsidRPr="00C80D0D" w:rsidRDefault="00257F29" w:rsidP="00C80D0D">
            <w:pPr>
              <w:autoSpaceDE w:val="0"/>
              <w:autoSpaceDN w:val="0"/>
              <w:adjustRightInd w:val="0"/>
              <w:spacing w:after="0" w:line="240" w:lineRule="auto"/>
              <w:jc w:val="both"/>
              <w:rPr>
                <w:rFonts w:cs="Calibri"/>
                <w:sz w:val="18"/>
                <w:szCs w:val="18"/>
                <w:lang w:eastAsia="pl-PL"/>
              </w:rPr>
            </w:pPr>
            <w:r w:rsidRPr="00C80D0D">
              <w:rPr>
                <w:rFonts w:cs="Calibri"/>
                <w:b/>
                <w:bCs/>
                <w:sz w:val="18"/>
                <w:szCs w:val="18"/>
                <w:lang w:eastAsia="pl-PL"/>
              </w:rPr>
              <w:t>Warunki osiągania efektów kształcenia w tym środki dydaktyczne, metody, formy organizacyjne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Szkoła organizuje praktyki zawodowe w podmiocie zapewniającym rzeczywiste warunki pracy właściwe dla nauczanego zawodu w wymiarze 4 tygodni (160 godzin).</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Przed rozpoczęciem praktyk zawodowych należy zapoznać uczniów z programem praktyk zawodowych, regulaminem i przepisami bezpieczeństwa i higieny pracy oraz ochrony przeciwpożarowej obowiązującymi w zakładzie pracy.</w:t>
            </w:r>
          </w:p>
          <w:p w:rsidR="00257F29" w:rsidRPr="00C80D0D" w:rsidRDefault="00257F29" w:rsidP="00C80D0D">
            <w:pPr>
              <w:spacing w:after="0" w:line="240" w:lineRule="auto"/>
              <w:jc w:val="both"/>
              <w:rPr>
                <w:rFonts w:cs="Calibri"/>
                <w:bCs/>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Środki dydaktyczne</w:t>
            </w:r>
          </w:p>
          <w:p w:rsidR="00257F29" w:rsidRPr="00C80D0D" w:rsidRDefault="00257F29" w:rsidP="00C80D0D">
            <w:pPr>
              <w:spacing w:after="0" w:line="240" w:lineRule="auto"/>
              <w:jc w:val="both"/>
              <w:rPr>
                <w:rFonts w:cs="Calibri"/>
                <w:bCs/>
                <w:sz w:val="18"/>
                <w:szCs w:val="18"/>
                <w:lang w:eastAsia="pl-PL"/>
              </w:rPr>
            </w:pPr>
            <w:r w:rsidRPr="00C80D0D">
              <w:rPr>
                <w:rFonts w:cs="Calibri"/>
                <w:bCs/>
                <w:sz w:val="18"/>
                <w:szCs w:val="18"/>
                <w:lang w:eastAsia="pl-PL"/>
              </w:rPr>
              <w:t>Rzeczywiste warunki pracy właściwe dla zawodu logistyka.</w:t>
            </w: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Zalecane metody dydaktyczne</w:t>
            </w:r>
          </w:p>
          <w:p w:rsidR="00257F29" w:rsidRPr="00C80D0D" w:rsidRDefault="00257F29" w:rsidP="00C80D0D">
            <w:pPr>
              <w:spacing w:after="0" w:line="240" w:lineRule="auto"/>
              <w:jc w:val="both"/>
              <w:rPr>
                <w:rFonts w:cs="Calibri"/>
                <w:sz w:val="18"/>
                <w:szCs w:val="18"/>
                <w:lang w:eastAsia="pl-PL"/>
              </w:rPr>
            </w:pPr>
            <w:r w:rsidRPr="00C80D0D">
              <w:rPr>
                <w:rFonts w:cs="Calibri"/>
                <w:bCs/>
                <w:sz w:val="18"/>
                <w:szCs w:val="18"/>
                <w:lang w:eastAsia="pl-PL"/>
              </w:rPr>
              <w:t>Praktyki zawodowe powinny odbywać się w dni robocze, poza porą nocną. W okresie praktyk zawodowych uczeń podlega obowiązkom wynikającym z regulaminu szkolnego, a ponadto ma obowiązek zastosować</w:t>
            </w:r>
            <w:r w:rsidRPr="00C80D0D">
              <w:rPr>
                <w:rFonts w:cs="Calibri"/>
                <w:bCs/>
                <w:color w:val="0000FF"/>
                <w:sz w:val="18"/>
                <w:szCs w:val="18"/>
                <w:lang w:eastAsia="pl-PL"/>
              </w:rPr>
              <w:t xml:space="preserve"> </w:t>
            </w:r>
            <w:r w:rsidRPr="00C80D0D">
              <w:rPr>
                <w:rFonts w:cs="Calibri"/>
                <w:bCs/>
                <w:sz w:val="18"/>
                <w:szCs w:val="18"/>
                <w:lang w:eastAsia="pl-PL"/>
              </w:rPr>
              <w:t>się do zasad obowiązujących w przedsiębiorstwie, w którym odbywa praktyki zawodowe.</w:t>
            </w:r>
          </w:p>
          <w:p w:rsidR="00257F29" w:rsidRPr="00C80D0D" w:rsidRDefault="00257F29" w:rsidP="00C80D0D">
            <w:pPr>
              <w:autoSpaceDE w:val="0"/>
              <w:autoSpaceDN w:val="0"/>
              <w:adjustRightInd w:val="0"/>
              <w:spacing w:after="0" w:line="240" w:lineRule="auto"/>
              <w:jc w:val="both"/>
              <w:rPr>
                <w:rFonts w:cs="Calibri"/>
                <w:sz w:val="18"/>
                <w:szCs w:val="18"/>
                <w:lang w:eastAsia="pl-PL"/>
              </w:rPr>
            </w:pPr>
            <w:r w:rsidRPr="00C80D0D">
              <w:rPr>
                <w:rFonts w:cs="Calibri"/>
                <w:sz w:val="18"/>
                <w:szCs w:val="18"/>
                <w:lang w:eastAsia="pl-PL"/>
              </w:rPr>
              <w:t>Przedsiębiorstwo, w którym odbywa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257F29" w:rsidRPr="00C80D0D" w:rsidRDefault="00257F29" w:rsidP="00C80D0D">
            <w:pPr>
              <w:autoSpaceDE w:val="0"/>
              <w:autoSpaceDN w:val="0"/>
              <w:adjustRightInd w:val="0"/>
              <w:spacing w:after="0" w:line="240" w:lineRule="auto"/>
              <w:jc w:val="both"/>
              <w:rPr>
                <w:rFonts w:cs="Calibri"/>
                <w:sz w:val="18"/>
                <w:szCs w:val="18"/>
                <w:lang w:eastAsia="pl-PL"/>
              </w:rPr>
            </w:pPr>
          </w:p>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t>Formy organizacyjne</w:t>
            </w:r>
          </w:p>
          <w:p w:rsidR="00257F29" w:rsidRPr="00C80D0D" w:rsidRDefault="00257F29" w:rsidP="00C80D0D">
            <w:pPr>
              <w:autoSpaceDE w:val="0"/>
              <w:autoSpaceDN w:val="0"/>
              <w:adjustRightInd w:val="0"/>
              <w:spacing w:after="0" w:line="240" w:lineRule="auto"/>
              <w:jc w:val="both"/>
              <w:rPr>
                <w:rFonts w:cs="Calibri"/>
                <w:sz w:val="18"/>
                <w:szCs w:val="18"/>
                <w:lang w:eastAsia="pl-PL"/>
              </w:rPr>
            </w:pPr>
            <w:r w:rsidRPr="00C80D0D">
              <w:rPr>
                <w:rFonts w:cs="Calibri"/>
                <w:sz w:val="18"/>
                <w:szCs w:val="18"/>
                <w:lang w:eastAsia="pl-PL"/>
              </w:rPr>
              <w:lastRenderedPageBreak/>
              <w:t>Zajęcia powinny być prowadzone z wykorzystaniem zróżnicowanych form: indywidualnie oraz grupowo. Zajęcia należy prowadzić w grupach do 5 osób lub nawet mniejszych (do 1-osobowych) jeżeli wymaga tego specyfika przedsiębiorstwa.</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b/>
                <w:bCs/>
                <w:sz w:val="18"/>
                <w:szCs w:val="18"/>
                <w:lang w:eastAsia="pl-PL"/>
              </w:rPr>
            </w:pPr>
            <w:r w:rsidRPr="00C80D0D">
              <w:rPr>
                <w:rFonts w:cs="Calibri"/>
                <w:b/>
                <w:bCs/>
                <w:sz w:val="18"/>
                <w:szCs w:val="18"/>
                <w:lang w:eastAsia="pl-PL"/>
              </w:rPr>
              <w:lastRenderedPageBreak/>
              <w:t xml:space="preserve">Propozycje kryteriów oceny i metod sprawdzania efektów kształcenia </w:t>
            </w:r>
          </w:p>
          <w:p w:rsidR="00257F29" w:rsidRPr="00C80D0D" w:rsidRDefault="00257F29" w:rsidP="00C80D0D">
            <w:pPr>
              <w:autoSpaceDE w:val="0"/>
              <w:autoSpaceDN w:val="0"/>
              <w:adjustRightInd w:val="0"/>
              <w:spacing w:after="0" w:line="240" w:lineRule="auto"/>
              <w:rPr>
                <w:rFonts w:cs="Calibri"/>
                <w:sz w:val="18"/>
                <w:szCs w:val="18"/>
                <w:lang w:eastAsia="pl-PL"/>
              </w:rPr>
            </w:pPr>
            <w:r w:rsidRPr="00C80D0D">
              <w:rPr>
                <w:rFonts w:cs="Calibri"/>
                <w:sz w:val="18"/>
                <w:szCs w:val="18"/>
                <w:lang w:eastAsia="pl-PL"/>
              </w:rPr>
              <w:t>Oceniania umiejętności opanowanych podczas praktyk zawodowych dokonuje opiekun praktyk na podstawie obserwacji wykonywanych przez ucznia zadań oraz sposobu prowadzenia dziennika praktyk zawodowych.</w:t>
            </w:r>
          </w:p>
        </w:tc>
      </w:tr>
      <w:tr w:rsidR="00257F29" w:rsidRPr="004A59FA" w:rsidTr="001B3B64">
        <w:trPr>
          <w:trHeight w:val="414"/>
        </w:trPr>
        <w:tc>
          <w:tcPr>
            <w:tcW w:w="13433" w:type="dxa"/>
            <w:gridSpan w:val="4"/>
            <w:vAlign w:val="center"/>
          </w:tcPr>
          <w:p w:rsidR="00257F29" w:rsidRPr="00C80D0D" w:rsidRDefault="00257F29" w:rsidP="00C80D0D">
            <w:pPr>
              <w:spacing w:after="0" w:line="240" w:lineRule="auto"/>
              <w:jc w:val="both"/>
              <w:rPr>
                <w:rFonts w:cs="Calibri"/>
                <w:sz w:val="18"/>
                <w:szCs w:val="18"/>
                <w:lang w:eastAsia="pl-PL"/>
              </w:rPr>
            </w:pPr>
            <w:r w:rsidRPr="00C80D0D">
              <w:rPr>
                <w:rFonts w:cs="Calibri"/>
                <w:b/>
                <w:bCs/>
                <w:sz w:val="18"/>
                <w:szCs w:val="18"/>
                <w:lang w:eastAsia="pl-PL"/>
              </w:rPr>
              <w:t>Formy indywidualizacji pracy uczniów</w:t>
            </w:r>
            <w:r w:rsidRPr="00C80D0D">
              <w:rPr>
                <w:rFonts w:cs="Calibri"/>
                <w:sz w:val="18"/>
                <w:szCs w:val="18"/>
                <w:lang w:eastAsia="pl-PL"/>
              </w:rPr>
              <w:t xml:space="preserve"> </w:t>
            </w:r>
            <w:r w:rsidRPr="00C80D0D">
              <w:rPr>
                <w:rFonts w:cs="Calibri"/>
                <w:b/>
                <w:sz w:val="18"/>
                <w:szCs w:val="18"/>
                <w:lang w:eastAsia="pl-PL"/>
              </w:rPr>
              <w:t>uwzględniające</w:t>
            </w:r>
            <w:r w:rsidRPr="00C80D0D">
              <w:rPr>
                <w:rFonts w:cs="Calibri"/>
                <w:sz w:val="18"/>
                <w:szCs w:val="18"/>
                <w:lang w:eastAsia="pl-PL"/>
              </w:rPr>
              <w:t xml:space="preserve">: </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potrzeb ucznia,</w:t>
            </w:r>
          </w:p>
          <w:p w:rsidR="00257F29" w:rsidRPr="00C80D0D" w:rsidRDefault="00257F29" w:rsidP="00C80D0D">
            <w:pPr>
              <w:numPr>
                <w:ilvl w:val="0"/>
                <w:numId w:val="1"/>
              </w:numPr>
              <w:spacing w:after="0" w:line="240" w:lineRule="auto"/>
              <w:contextualSpacing/>
              <w:jc w:val="both"/>
              <w:rPr>
                <w:rFonts w:cs="Calibri"/>
                <w:sz w:val="18"/>
                <w:szCs w:val="18"/>
              </w:rPr>
            </w:pPr>
            <w:r w:rsidRPr="00C80D0D">
              <w:rPr>
                <w:rFonts w:cs="Calibri"/>
                <w:sz w:val="18"/>
                <w:szCs w:val="18"/>
              </w:rPr>
              <w:t>dostosowanie warunków, środków, metod i form kształcenia do możliwości ucznia.</w:t>
            </w:r>
          </w:p>
        </w:tc>
      </w:tr>
    </w:tbl>
    <w:p w:rsidR="00257F29" w:rsidRDefault="00257F29"/>
    <w:sectPr w:rsidR="00257F29" w:rsidSect="00C80D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62B"/>
    <w:multiLevelType w:val="multilevel"/>
    <w:tmpl w:val="3D4ACDC8"/>
    <w:lvl w:ilvl="0">
      <w:start w:val="1"/>
      <w:numFmt w:val="decimal"/>
      <w:lvlText w:val="%1."/>
      <w:lvlJc w:val="left"/>
      <w:pPr>
        <w:ind w:left="786" w:hanging="360"/>
      </w:pPr>
      <w:rPr>
        <w:rFonts w:cs="Times New Roman" w:hint="default"/>
        <w:b/>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0D"/>
    <w:rsid w:val="001B3B64"/>
    <w:rsid w:val="001E68E0"/>
    <w:rsid w:val="00257F29"/>
    <w:rsid w:val="002A37C4"/>
    <w:rsid w:val="004A59FA"/>
    <w:rsid w:val="00796E4A"/>
    <w:rsid w:val="00A2553C"/>
    <w:rsid w:val="00A945F7"/>
    <w:rsid w:val="00B265AF"/>
    <w:rsid w:val="00C80D0D"/>
    <w:rsid w:val="00EF2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439E8"/>
  <w15:docId w15:val="{1E12E592-68E9-40CE-BCEE-A01B672E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65AF"/>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15004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Szkół</dc:creator>
  <cp:keywords/>
  <dc:description/>
  <cp:lastModifiedBy>Piotr Majdzik</cp:lastModifiedBy>
  <cp:revision>2</cp:revision>
  <dcterms:created xsi:type="dcterms:W3CDTF">2020-06-02T18:59:00Z</dcterms:created>
  <dcterms:modified xsi:type="dcterms:W3CDTF">2020-06-02T18:59:00Z</dcterms:modified>
</cp:coreProperties>
</file>